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6693" w14:textId="6579092D" w:rsidR="00E3264E" w:rsidRDefault="00F97559" w:rsidP="00F97559">
      <w:pPr>
        <w:spacing w:line="360" w:lineRule="auto"/>
        <w:jc w:val="center"/>
        <w:rPr>
          <w:b/>
          <w:sz w:val="32"/>
          <w:szCs w:val="32"/>
        </w:rPr>
      </w:pPr>
      <w:r>
        <w:rPr>
          <w:rFonts w:asciiTheme="majorHAnsi" w:hAnsiTheme="majorHAnsi"/>
          <w:b/>
          <w:noProof/>
          <w:sz w:val="48"/>
          <w:szCs w:val="48"/>
        </w:rPr>
        <w:drawing>
          <wp:inline distT="0" distB="0" distL="0" distR="0" wp14:anchorId="14A159FD" wp14:editId="0D05EF3E">
            <wp:extent cx="2449195" cy="86650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p w14:paraId="1C8F18F7" w14:textId="78DF4F11" w:rsidR="00F97559" w:rsidRPr="009A078E" w:rsidRDefault="00F97559" w:rsidP="000422E0">
      <w:pPr>
        <w:spacing w:line="360" w:lineRule="auto"/>
        <w:jc w:val="center"/>
        <w:rPr>
          <w:b/>
          <w:sz w:val="32"/>
          <w:szCs w:val="32"/>
        </w:rPr>
      </w:pPr>
      <w:r>
        <w:rPr>
          <w:b/>
          <w:sz w:val="32"/>
          <w:szCs w:val="32"/>
        </w:rPr>
        <w:t>7</w:t>
      </w:r>
      <w:r w:rsidRPr="00F97559">
        <w:rPr>
          <w:b/>
          <w:sz w:val="32"/>
          <w:szCs w:val="32"/>
          <w:vertAlign w:val="superscript"/>
        </w:rPr>
        <w:t>th</w:t>
      </w:r>
      <w:r>
        <w:rPr>
          <w:b/>
          <w:sz w:val="32"/>
          <w:szCs w:val="32"/>
        </w:rPr>
        <w:t xml:space="preserve"> Grade Go Math Pacing Guide</w:t>
      </w:r>
    </w:p>
    <w:tbl>
      <w:tblPr>
        <w:tblStyle w:val="TableGrid"/>
        <w:tblW w:w="0" w:type="auto"/>
        <w:jc w:val="center"/>
        <w:tblLook w:val="04A0" w:firstRow="1" w:lastRow="0" w:firstColumn="1" w:lastColumn="0" w:noHBand="0" w:noVBand="1"/>
      </w:tblPr>
      <w:tblGrid>
        <w:gridCol w:w="2366"/>
        <w:gridCol w:w="1409"/>
        <w:gridCol w:w="1710"/>
        <w:gridCol w:w="4590"/>
      </w:tblGrid>
      <w:tr w:rsidR="00F97559" w:rsidRPr="0051362D" w14:paraId="6B996B84" w14:textId="77777777" w:rsidTr="000422E0">
        <w:trPr>
          <w:jc w:val="center"/>
        </w:trPr>
        <w:tc>
          <w:tcPr>
            <w:tcW w:w="10075" w:type="dxa"/>
            <w:gridSpan w:val="4"/>
            <w:shd w:val="clear" w:color="auto" w:fill="4F81BD" w:themeFill="accent1"/>
          </w:tcPr>
          <w:p w14:paraId="2948DED5" w14:textId="4F2CEFBF" w:rsidR="00F97559" w:rsidRPr="0051362D" w:rsidRDefault="00F97559" w:rsidP="00E3264E">
            <w:pPr>
              <w:spacing w:line="360" w:lineRule="auto"/>
              <w:jc w:val="center"/>
              <w:rPr>
                <w:b/>
                <w:sz w:val="28"/>
                <w:szCs w:val="28"/>
              </w:rPr>
            </w:pPr>
            <w:r w:rsidRPr="0051362D">
              <w:rPr>
                <w:b/>
                <w:sz w:val="28"/>
                <w:szCs w:val="28"/>
              </w:rPr>
              <w:t>FIRST QUARTER</w:t>
            </w:r>
          </w:p>
        </w:tc>
      </w:tr>
      <w:tr w:rsidR="00F97559" w:rsidRPr="0051362D" w14:paraId="6CCB708B" w14:textId="77777777" w:rsidTr="000422E0">
        <w:trPr>
          <w:jc w:val="center"/>
        </w:trPr>
        <w:tc>
          <w:tcPr>
            <w:tcW w:w="2366" w:type="dxa"/>
            <w:shd w:val="clear" w:color="auto" w:fill="C6D9F1" w:themeFill="text2" w:themeFillTint="33"/>
            <w:vAlign w:val="center"/>
          </w:tcPr>
          <w:p w14:paraId="77BE947F" w14:textId="692C6AE4" w:rsidR="00F97559" w:rsidRPr="0051362D" w:rsidRDefault="00F97559" w:rsidP="00F97559">
            <w:pPr>
              <w:jc w:val="center"/>
              <w:rPr>
                <w:b/>
                <w:sz w:val="28"/>
                <w:szCs w:val="28"/>
              </w:rPr>
            </w:pPr>
            <w:r w:rsidRPr="0051362D">
              <w:rPr>
                <w:b/>
                <w:sz w:val="28"/>
                <w:szCs w:val="28"/>
              </w:rPr>
              <w:t>UNIT</w:t>
            </w:r>
            <w:r>
              <w:rPr>
                <w:b/>
                <w:sz w:val="28"/>
                <w:szCs w:val="28"/>
              </w:rPr>
              <w:t xml:space="preserve"> &amp; Go Math Lessons</w:t>
            </w:r>
          </w:p>
        </w:tc>
        <w:tc>
          <w:tcPr>
            <w:tcW w:w="1409" w:type="dxa"/>
            <w:shd w:val="clear" w:color="auto" w:fill="C6D9F1" w:themeFill="text2" w:themeFillTint="33"/>
            <w:vAlign w:val="center"/>
          </w:tcPr>
          <w:p w14:paraId="6553BB8E" w14:textId="77777777" w:rsidR="00F97559" w:rsidRPr="0051362D" w:rsidRDefault="00F97559" w:rsidP="00F97559">
            <w:pPr>
              <w:spacing w:line="360" w:lineRule="auto"/>
              <w:jc w:val="center"/>
              <w:rPr>
                <w:b/>
                <w:sz w:val="28"/>
                <w:szCs w:val="28"/>
              </w:rPr>
            </w:pPr>
            <w:r w:rsidRPr="0051362D">
              <w:rPr>
                <w:b/>
                <w:sz w:val="28"/>
                <w:szCs w:val="28"/>
              </w:rPr>
              <w:t>PACING</w:t>
            </w:r>
          </w:p>
        </w:tc>
        <w:tc>
          <w:tcPr>
            <w:tcW w:w="1710" w:type="dxa"/>
            <w:shd w:val="clear" w:color="auto" w:fill="C6D9F1" w:themeFill="text2" w:themeFillTint="33"/>
            <w:vAlign w:val="center"/>
          </w:tcPr>
          <w:p w14:paraId="1EEC2814" w14:textId="3C1C3953" w:rsidR="00F97559" w:rsidRPr="0051362D" w:rsidRDefault="00F97559" w:rsidP="00F97559">
            <w:pPr>
              <w:spacing w:line="360" w:lineRule="auto"/>
              <w:jc w:val="center"/>
              <w:rPr>
                <w:b/>
                <w:sz w:val="28"/>
                <w:szCs w:val="28"/>
              </w:rPr>
            </w:pPr>
            <w:r>
              <w:rPr>
                <w:b/>
                <w:sz w:val="28"/>
                <w:szCs w:val="28"/>
              </w:rPr>
              <w:t xml:space="preserve">% of </w:t>
            </w:r>
            <w:proofErr w:type="spellStart"/>
            <w:r>
              <w:rPr>
                <w:b/>
                <w:sz w:val="28"/>
                <w:szCs w:val="28"/>
              </w:rPr>
              <w:t>TNReady</w:t>
            </w:r>
            <w:proofErr w:type="spellEnd"/>
          </w:p>
        </w:tc>
        <w:tc>
          <w:tcPr>
            <w:tcW w:w="4590" w:type="dxa"/>
            <w:shd w:val="clear" w:color="auto" w:fill="C6D9F1" w:themeFill="text2" w:themeFillTint="33"/>
            <w:vAlign w:val="center"/>
          </w:tcPr>
          <w:p w14:paraId="584F1452" w14:textId="4AEDC6B0" w:rsidR="00F97559" w:rsidRPr="0051362D" w:rsidRDefault="00F97559" w:rsidP="00F97559">
            <w:pPr>
              <w:spacing w:line="360" w:lineRule="auto"/>
              <w:jc w:val="center"/>
              <w:rPr>
                <w:b/>
                <w:sz w:val="28"/>
                <w:szCs w:val="28"/>
              </w:rPr>
            </w:pPr>
            <w:r w:rsidRPr="0051362D">
              <w:rPr>
                <w:b/>
                <w:sz w:val="28"/>
                <w:szCs w:val="28"/>
              </w:rPr>
              <w:t>TOPICS</w:t>
            </w:r>
          </w:p>
        </w:tc>
      </w:tr>
      <w:tr w:rsidR="00F97559" w14:paraId="28C036F1" w14:textId="77777777" w:rsidTr="000422E0">
        <w:trPr>
          <w:jc w:val="center"/>
        </w:trPr>
        <w:tc>
          <w:tcPr>
            <w:tcW w:w="2366" w:type="dxa"/>
          </w:tcPr>
          <w:p w14:paraId="53A96DC5" w14:textId="3097C8A0" w:rsidR="00F97559" w:rsidRPr="0051362D" w:rsidRDefault="00F97559" w:rsidP="00E3264E">
            <w:pPr>
              <w:spacing w:line="360" w:lineRule="auto"/>
              <w:jc w:val="center"/>
              <w:rPr>
                <w:b/>
                <w:sz w:val="22"/>
                <w:szCs w:val="22"/>
              </w:rPr>
            </w:pPr>
            <w:r>
              <w:rPr>
                <w:b/>
                <w:sz w:val="22"/>
                <w:szCs w:val="22"/>
              </w:rPr>
              <w:t>Rational Numbers</w:t>
            </w:r>
          </w:p>
        </w:tc>
        <w:tc>
          <w:tcPr>
            <w:tcW w:w="1409" w:type="dxa"/>
          </w:tcPr>
          <w:p w14:paraId="25E5005A" w14:textId="49F866D5" w:rsidR="00F97559" w:rsidRPr="0051362D" w:rsidRDefault="00F97559" w:rsidP="00E3264E">
            <w:pPr>
              <w:spacing w:line="360" w:lineRule="auto"/>
              <w:jc w:val="center"/>
              <w:rPr>
                <w:b/>
                <w:sz w:val="22"/>
                <w:szCs w:val="22"/>
              </w:rPr>
            </w:pPr>
            <w:r>
              <w:rPr>
                <w:b/>
                <w:sz w:val="22"/>
                <w:szCs w:val="22"/>
              </w:rPr>
              <w:t>4 weeks</w:t>
            </w:r>
          </w:p>
        </w:tc>
        <w:tc>
          <w:tcPr>
            <w:tcW w:w="1710" w:type="dxa"/>
          </w:tcPr>
          <w:p w14:paraId="727F8170" w14:textId="77777777" w:rsidR="00F97559" w:rsidRDefault="00854816" w:rsidP="00854816">
            <w:pPr>
              <w:pStyle w:val="ListParagraph"/>
              <w:spacing w:line="360" w:lineRule="auto"/>
              <w:ind w:left="54"/>
              <w:jc w:val="center"/>
              <w:rPr>
                <w:b/>
                <w:sz w:val="20"/>
                <w:szCs w:val="20"/>
              </w:rPr>
            </w:pPr>
            <w:r>
              <w:rPr>
                <w:b/>
                <w:sz w:val="20"/>
                <w:szCs w:val="20"/>
              </w:rPr>
              <w:t>13 – 20 %</w:t>
            </w:r>
          </w:p>
          <w:p w14:paraId="2749562B" w14:textId="77777777" w:rsidR="0033512C" w:rsidRDefault="0033512C" w:rsidP="00854816">
            <w:pPr>
              <w:pStyle w:val="ListParagraph"/>
              <w:spacing w:line="360" w:lineRule="auto"/>
              <w:ind w:left="54"/>
              <w:jc w:val="center"/>
              <w:rPr>
                <w:b/>
                <w:sz w:val="20"/>
                <w:szCs w:val="20"/>
              </w:rPr>
            </w:pPr>
          </w:p>
          <w:p w14:paraId="40305AAF" w14:textId="572D529E" w:rsidR="0033512C" w:rsidRDefault="0033512C" w:rsidP="00854816">
            <w:pPr>
              <w:pStyle w:val="ListParagraph"/>
              <w:spacing w:line="360" w:lineRule="auto"/>
              <w:ind w:left="54"/>
              <w:jc w:val="center"/>
              <w:rPr>
                <w:b/>
                <w:sz w:val="20"/>
                <w:szCs w:val="20"/>
              </w:rPr>
            </w:pPr>
            <w:r>
              <w:rPr>
                <w:b/>
                <w:sz w:val="20"/>
                <w:szCs w:val="20"/>
              </w:rPr>
              <w:t>**Major work of the grade</w:t>
            </w:r>
          </w:p>
        </w:tc>
        <w:tc>
          <w:tcPr>
            <w:tcW w:w="4590" w:type="dxa"/>
          </w:tcPr>
          <w:p w14:paraId="5D4B31BE" w14:textId="64CA4E72" w:rsidR="00F97559" w:rsidRPr="00E66896" w:rsidRDefault="00F97559" w:rsidP="00897CF2">
            <w:pPr>
              <w:pStyle w:val="ListParagraph"/>
              <w:spacing w:line="360" w:lineRule="auto"/>
              <w:ind w:left="54"/>
              <w:rPr>
                <w:b/>
                <w:sz w:val="20"/>
                <w:szCs w:val="20"/>
              </w:rPr>
            </w:pPr>
            <w:r>
              <w:rPr>
                <w:b/>
                <w:sz w:val="20"/>
                <w:szCs w:val="20"/>
              </w:rPr>
              <w:t>Order of operations, operations on fractions and decimals, properties, integers, operations on integers, additive inverse, fraction to decimal, contextual problems involving the four operations</w:t>
            </w:r>
          </w:p>
        </w:tc>
      </w:tr>
      <w:tr w:rsidR="00F97559" w14:paraId="4DA63AB8" w14:textId="77777777" w:rsidTr="000422E0">
        <w:trPr>
          <w:jc w:val="center"/>
        </w:trPr>
        <w:tc>
          <w:tcPr>
            <w:tcW w:w="2366" w:type="dxa"/>
          </w:tcPr>
          <w:p w14:paraId="71088B1F" w14:textId="50B4A4D1" w:rsidR="00F97559" w:rsidRPr="0051362D" w:rsidRDefault="00F97559" w:rsidP="00E3264E">
            <w:pPr>
              <w:spacing w:line="360" w:lineRule="auto"/>
              <w:jc w:val="center"/>
              <w:rPr>
                <w:b/>
                <w:sz w:val="22"/>
                <w:szCs w:val="22"/>
              </w:rPr>
            </w:pPr>
            <w:r>
              <w:rPr>
                <w:b/>
                <w:sz w:val="22"/>
                <w:szCs w:val="22"/>
              </w:rPr>
              <w:t>Algebraic Expressions and Equations</w:t>
            </w:r>
          </w:p>
        </w:tc>
        <w:tc>
          <w:tcPr>
            <w:tcW w:w="1409" w:type="dxa"/>
          </w:tcPr>
          <w:p w14:paraId="6FCE20B7" w14:textId="3B7E7A64" w:rsidR="00F97559" w:rsidRPr="0051362D" w:rsidRDefault="00F97559" w:rsidP="00E3264E">
            <w:pPr>
              <w:spacing w:line="360" w:lineRule="auto"/>
              <w:jc w:val="center"/>
              <w:rPr>
                <w:b/>
                <w:sz w:val="22"/>
                <w:szCs w:val="22"/>
              </w:rPr>
            </w:pPr>
            <w:r>
              <w:rPr>
                <w:b/>
                <w:sz w:val="22"/>
                <w:szCs w:val="22"/>
              </w:rPr>
              <w:t xml:space="preserve">5 weeks </w:t>
            </w:r>
          </w:p>
        </w:tc>
        <w:tc>
          <w:tcPr>
            <w:tcW w:w="1710" w:type="dxa"/>
          </w:tcPr>
          <w:p w14:paraId="68D65FF0" w14:textId="77777777" w:rsidR="00F97559" w:rsidRDefault="00854816" w:rsidP="00854816">
            <w:pPr>
              <w:pStyle w:val="ListParagraph"/>
              <w:spacing w:line="360" w:lineRule="auto"/>
              <w:ind w:left="54"/>
              <w:jc w:val="center"/>
              <w:rPr>
                <w:b/>
                <w:sz w:val="20"/>
                <w:szCs w:val="20"/>
              </w:rPr>
            </w:pPr>
            <w:r>
              <w:rPr>
                <w:b/>
                <w:sz w:val="20"/>
                <w:szCs w:val="20"/>
              </w:rPr>
              <w:t>29 – 36 %</w:t>
            </w:r>
          </w:p>
          <w:p w14:paraId="345F72E2" w14:textId="77777777" w:rsidR="0033512C" w:rsidRDefault="0033512C" w:rsidP="00854816">
            <w:pPr>
              <w:pStyle w:val="ListParagraph"/>
              <w:spacing w:line="360" w:lineRule="auto"/>
              <w:ind w:left="54"/>
              <w:jc w:val="center"/>
              <w:rPr>
                <w:b/>
                <w:sz w:val="20"/>
                <w:szCs w:val="20"/>
              </w:rPr>
            </w:pPr>
          </w:p>
          <w:p w14:paraId="020536A5" w14:textId="4CC7155B" w:rsidR="0033512C" w:rsidRDefault="0033512C" w:rsidP="00854816">
            <w:pPr>
              <w:pStyle w:val="ListParagraph"/>
              <w:spacing w:line="360" w:lineRule="auto"/>
              <w:ind w:left="54"/>
              <w:jc w:val="center"/>
              <w:rPr>
                <w:b/>
                <w:sz w:val="20"/>
                <w:szCs w:val="20"/>
              </w:rPr>
            </w:pPr>
            <w:r>
              <w:rPr>
                <w:b/>
                <w:sz w:val="20"/>
                <w:szCs w:val="20"/>
              </w:rPr>
              <w:t>**Major work of the grade</w:t>
            </w:r>
          </w:p>
        </w:tc>
        <w:tc>
          <w:tcPr>
            <w:tcW w:w="4590" w:type="dxa"/>
          </w:tcPr>
          <w:p w14:paraId="51CA0171" w14:textId="1A13BB4D" w:rsidR="00F97559" w:rsidRPr="001207D0" w:rsidRDefault="00F97559" w:rsidP="00E97E95">
            <w:pPr>
              <w:pStyle w:val="ListParagraph"/>
              <w:spacing w:line="360" w:lineRule="auto"/>
              <w:ind w:left="54"/>
              <w:rPr>
                <w:b/>
                <w:sz w:val="20"/>
                <w:szCs w:val="20"/>
              </w:rPr>
            </w:pPr>
            <w:r>
              <w:rPr>
                <w:b/>
                <w:sz w:val="20"/>
                <w:szCs w:val="20"/>
              </w:rPr>
              <w:t>Using the Distributive Property to simplify algebraic expressions. Rewrite expressions to understand all parts of contextual problems</w:t>
            </w:r>
          </w:p>
        </w:tc>
      </w:tr>
      <w:tr w:rsidR="00F97559" w14:paraId="3965608B" w14:textId="77777777" w:rsidTr="000422E0">
        <w:trPr>
          <w:jc w:val="center"/>
        </w:trPr>
        <w:tc>
          <w:tcPr>
            <w:tcW w:w="10075" w:type="dxa"/>
            <w:gridSpan w:val="4"/>
            <w:shd w:val="clear" w:color="auto" w:fill="4F81BD" w:themeFill="accent1"/>
          </w:tcPr>
          <w:p w14:paraId="764E6AD5" w14:textId="1D0DF7DD" w:rsidR="00F97559" w:rsidRPr="0051362D" w:rsidRDefault="00F97559" w:rsidP="00E3264E">
            <w:pPr>
              <w:spacing w:line="360" w:lineRule="auto"/>
              <w:jc w:val="center"/>
              <w:rPr>
                <w:b/>
                <w:sz w:val="28"/>
                <w:szCs w:val="28"/>
              </w:rPr>
            </w:pPr>
            <w:r w:rsidRPr="0051362D">
              <w:rPr>
                <w:b/>
                <w:sz w:val="28"/>
                <w:szCs w:val="28"/>
              </w:rPr>
              <w:t>SECOND QUARTER</w:t>
            </w:r>
          </w:p>
        </w:tc>
      </w:tr>
      <w:tr w:rsidR="00F97559" w14:paraId="0AD3D90C" w14:textId="77777777" w:rsidTr="000422E0">
        <w:trPr>
          <w:jc w:val="center"/>
        </w:trPr>
        <w:tc>
          <w:tcPr>
            <w:tcW w:w="2366" w:type="dxa"/>
            <w:shd w:val="clear" w:color="auto" w:fill="C6D9F1" w:themeFill="text2" w:themeFillTint="33"/>
            <w:vAlign w:val="center"/>
          </w:tcPr>
          <w:p w14:paraId="63B23C4E" w14:textId="5692806B" w:rsidR="00F97559" w:rsidRPr="0051362D" w:rsidRDefault="00F97559" w:rsidP="00F97559">
            <w:pPr>
              <w:jc w:val="center"/>
              <w:rPr>
                <w:b/>
                <w:sz w:val="28"/>
                <w:szCs w:val="28"/>
              </w:rPr>
            </w:pPr>
            <w:r w:rsidRPr="0051362D">
              <w:rPr>
                <w:b/>
                <w:sz w:val="28"/>
                <w:szCs w:val="28"/>
              </w:rPr>
              <w:t>UNIT</w:t>
            </w:r>
            <w:r>
              <w:rPr>
                <w:b/>
                <w:sz w:val="28"/>
                <w:szCs w:val="28"/>
              </w:rPr>
              <w:t xml:space="preserve"> &amp; Go Math Lessons</w:t>
            </w:r>
          </w:p>
        </w:tc>
        <w:tc>
          <w:tcPr>
            <w:tcW w:w="1409" w:type="dxa"/>
            <w:shd w:val="clear" w:color="auto" w:fill="C6D9F1" w:themeFill="text2" w:themeFillTint="33"/>
            <w:vAlign w:val="center"/>
          </w:tcPr>
          <w:p w14:paraId="47C066BC" w14:textId="18C6A4C2" w:rsidR="00F97559" w:rsidRPr="0051362D" w:rsidRDefault="00F97559" w:rsidP="00F97559">
            <w:pPr>
              <w:spacing w:line="360" w:lineRule="auto"/>
              <w:jc w:val="center"/>
              <w:rPr>
                <w:b/>
                <w:sz w:val="28"/>
                <w:szCs w:val="28"/>
              </w:rPr>
            </w:pPr>
            <w:r w:rsidRPr="0051362D">
              <w:rPr>
                <w:b/>
                <w:sz w:val="28"/>
                <w:szCs w:val="28"/>
              </w:rPr>
              <w:t>PACING</w:t>
            </w:r>
          </w:p>
        </w:tc>
        <w:tc>
          <w:tcPr>
            <w:tcW w:w="1710" w:type="dxa"/>
            <w:shd w:val="clear" w:color="auto" w:fill="C6D9F1" w:themeFill="text2" w:themeFillTint="33"/>
            <w:vAlign w:val="center"/>
          </w:tcPr>
          <w:p w14:paraId="7434C010" w14:textId="0FA92930" w:rsidR="00F97559" w:rsidRPr="0051362D" w:rsidRDefault="00F97559" w:rsidP="00F97559">
            <w:pPr>
              <w:spacing w:line="360" w:lineRule="auto"/>
              <w:jc w:val="center"/>
              <w:rPr>
                <w:b/>
                <w:sz w:val="28"/>
                <w:szCs w:val="28"/>
              </w:rPr>
            </w:pPr>
            <w:r>
              <w:rPr>
                <w:b/>
                <w:sz w:val="28"/>
                <w:szCs w:val="28"/>
              </w:rPr>
              <w:t xml:space="preserve">% of </w:t>
            </w:r>
            <w:proofErr w:type="spellStart"/>
            <w:r>
              <w:rPr>
                <w:b/>
                <w:sz w:val="28"/>
                <w:szCs w:val="28"/>
              </w:rPr>
              <w:t>TNReady</w:t>
            </w:r>
            <w:proofErr w:type="spellEnd"/>
          </w:p>
        </w:tc>
        <w:tc>
          <w:tcPr>
            <w:tcW w:w="4590" w:type="dxa"/>
            <w:shd w:val="clear" w:color="auto" w:fill="C6D9F1" w:themeFill="text2" w:themeFillTint="33"/>
            <w:vAlign w:val="center"/>
          </w:tcPr>
          <w:p w14:paraId="3B321170" w14:textId="3254A46D" w:rsidR="00F97559" w:rsidRPr="0051362D" w:rsidRDefault="00F97559" w:rsidP="00F97559">
            <w:pPr>
              <w:spacing w:line="360" w:lineRule="auto"/>
              <w:jc w:val="center"/>
              <w:rPr>
                <w:b/>
                <w:sz w:val="28"/>
                <w:szCs w:val="28"/>
              </w:rPr>
            </w:pPr>
            <w:r w:rsidRPr="0051362D">
              <w:rPr>
                <w:b/>
                <w:sz w:val="28"/>
                <w:szCs w:val="28"/>
              </w:rPr>
              <w:t>TOPICS</w:t>
            </w:r>
          </w:p>
        </w:tc>
      </w:tr>
      <w:tr w:rsidR="00F97559" w14:paraId="53DCA05C" w14:textId="77777777" w:rsidTr="000422E0">
        <w:trPr>
          <w:jc w:val="center"/>
        </w:trPr>
        <w:tc>
          <w:tcPr>
            <w:tcW w:w="2366" w:type="dxa"/>
          </w:tcPr>
          <w:p w14:paraId="0EBEBC15" w14:textId="238CC776" w:rsidR="00F97559" w:rsidRPr="0051362D" w:rsidRDefault="00F97559" w:rsidP="00E3264E">
            <w:pPr>
              <w:spacing w:line="360" w:lineRule="auto"/>
              <w:jc w:val="center"/>
              <w:rPr>
                <w:b/>
                <w:sz w:val="22"/>
                <w:szCs w:val="22"/>
              </w:rPr>
            </w:pPr>
            <w:r>
              <w:rPr>
                <w:b/>
                <w:sz w:val="22"/>
                <w:szCs w:val="22"/>
              </w:rPr>
              <w:t>Multi-step Equations</w:t>
            </w:r>
          </w:p>
        </w:tc>
        <w:tc>
          <w:tcPr>
            <w:tcW w:w="1409" w:type="dxa"/>
          </w:tcPr>
          <w:p w14:paraId="4642313E" w14:textId="4E55BEC3" w:rsidR="00F97559" w:rsidRPr="0051362D" w:rsidRDefault="00F97559" w:rsidP="00E3264E">
            <w:pPr>
              <w:spacing w:line="360" w:lineRule="auto"/>
              <w:jc w:val="center"/>
              <w:rPr>
                <w:b/>
                <w:sz w:val="22"/>
                <w:szCs w:val="22"/>
              </w:rPr>
            </w:pPr>
            <w:r>
              <w:rPr>
                <w:b/>
                <w:sz w:val="22"/>
                <w:szCs w:val="22"/>
              </w:rPr>
              <w:t>5 weeks</w:t>
            </w:r>
          </w:p>
        </w:tc>
        <w:tc>
          <w:tcPr>
            <w:tcW w:w="1710" w:type="dxa"/>
          </w:tcPr>
          <w:p w14:paraId="726F4749" w14:textId="77777777" w:rsidR="00F97559" w:rsidRDefault="00062DDF" w:rsidP="00062DDF">
            <w:pPr>
              <w:pStyle w:val="ListParagraph"/>
              <w:spacing w:line="360" w:lineRule="auto"/>
              <w:ind w:left="54"/>
              <w:jc w:val="center"/>
              <w:rPr>
                <w:b/>
                <w:sz w:val="20"/>
                <w:szCs w:val="20"/>
              </w:rPr>
            </w:pPr>
            <w:r>
              <w:rPr>
                <w:b/>
                <w:sz w:val="20"/>
                <w:szCs w:val="20"/>
              </w:rPr>
              <w:t>29 – 36%</w:t>
            </w:r>
          </w:p>
          <w:p w14:paraId="29C5636C" w14:textId="77777777" w:rsidR="00062DDF" w:rsidRDefault="00062DDF" w:rsidP="00062DDF">
            <w:pPr>
              <w:pStyle w:val="ListParagraph"/>
              <w:spacing w:line="360" w:lineRule="auto"/>
              <w:ind w:left="54"/>
              <w:jc w:val="center"/>
              <w:rPr>
                <w:b/>
                <w:sz w:val="20"/>
                <w:szCs w:val="20"/>
              </w:rPr>
            </w:pPr>
            <w:r>
              <w:rPr>
                <w:b/>
                <w:sz w:val="20"/>
                <w:szCs w:val="20"/>
              </w:rPr>
              <w:t>(with Expressions and Equations)</w:t>
            </w:r>
          </w:p>
          <w:p w14:paraId="25BB12CF" w14:textId="1483DD9C" w:rsidR="0033512C" w:rsidRDefault="0033512C" w:rsidP="00062DDF">
            <w:pPr>
              <w:pStyle w:val="ListParagraph"/>
              <w:spacing w:line="360" w:lineRule="auto"/>
              <w:ind w:left="54"/>
              <w:jc w:val="center"/>
              <w:rPr>
                <w:b/>
                <w:sz w:val="20"/>
                <w:szCs w:val="20"/>
              </w:rPr>
            </w:pPr>
            <w:r>
              <w:rPr>
                <w:b/>
                <w:sz w:val="20"/>
                <w:szCs w:val="20"/>
              </w:rPr>
              <w:t>**Major work of the grade</w:t>
            </w:r>
          </w:p>
        </w:tc>
        <w:tc>
          <w:tcPr>
            <w:tcW w:w="4590" w:type="dxa"/>
          </w:tcPr>
          <w:p w14:paraId="7467F987" w14:textId="26B9172E" w:rsidR="00F97559" w:rsidRPr="0051362D" w:rsidRDefault="00F97559" w:rsidP="00E97E95">
            <w:pPr>
              <w:pStyle w:val="ListParagraph"/>
              <w:spacing w:line="360" w:lineRule="auto"/>
              <w:ind w:left="54"/>
              <w:rPr>
                <w:b/>
                <w:sz w:val="20"/>
                <w:szCs w:val="20"/>
              </w:rPr>
            </w:pPr>
            <w:r>
              <w:rPr>
                <w:b/>
                <w:sz w:val="20"/>
                <w:szCs w:val="20"/>
              </w:rPr>
              <w:t>Solving multi-step equations with rational numbers. Convert between fractions, decimals and equations in order to solve contextual problems. Solving inequalities, including a negative coefficient and graphing on a number line.</w:t>
            </w:r>
          </w:p>
        </w:tc>
      </w:tr>
      <w:tr w:rsidR="00F97559" w14:paraId="77E3811B" w14:textId="77777777" w:rsidTr="000422E0">
        <w:trPr>
          <w:jc w:val="center"/>
        </w:trPr>
        <w:tc>
          <w:tcPr>
            <w:tcW w:w="2366" w:type="dxa"/>
          </w:tcPr>
          <w:p w14:paraId="5200CE0D" w14:textId="0449F6A7" w:rsidR="00F97559" w:rsidRPr="0051362D" w:rsidRDefault="00F97559" w:rsidP="00F97559">
            <w:pPr>
              <w:spacing w:line="360" w:lineRule="auto"/>
              <w:jc w:val="center"/>
              <w:rPr>
                <w:b/>
                <w:sz w:val="22"/>
                <w:szCs w:val="22"/>
              </w:rPr>
            </w:pPr>
            <w:r>
              <w:rPr>
                <w:b/>
                <w:sz w:val="22"/>
                <w:szCs w:val="22"/>
              </w:rPr>
              <w:t>Ratios and Proportions</w:t>
            </w:r>
          </w:p>
        </w:tc>
        <w:tc>
          <w:tcPr>
            <w:tcW w:w="1409" w:type="dxa"/>
          </w:tcPr>
          <w:p w14:paraId="03EDA065" w14:textId="7D258962" w:rsidR="00F97559" w:rsidRPr="0051362D" w:rsidRDefault="00F97559" w:rsidP="00E3264E">
            <w:pPr>
              <w:spacing w:line="360" w:lineRule="auto"/>
              <w:jc w:val="center"/>
              <w:rPr>
                <w:b/>
                <w:sz w:val="22"/>
                <w:szCs w:val="22"/>
              </w:rPr>
            </w:pPr>
            <w:r>
              <w:rPr>
                <w:b/>
                <w:sz w:val="22"/>
                <w:szCs w:val="22"/>
              </w:rPr>
              <w:t>4 weeks</w:t>
            </w:r>
          </w:p>
        </w:tc>
        <w:tc>
          <w:tcPr>
            <w:tcW w:w="1710" w:type="dxa"/>
          </w:tcPr>
          <w:p w14:paraId="6358F6B2" w14:textId="77777777" w:rsidR="00F97559" w:rsidRDefault="00062DDF" w:rsidP="00062DDF">
            <w:pPr>
              <w:spacing w:line="360" w:lineRule="auto"/>
              <w:rPr>
                <w:b/>
                <w:sz w:val="20"/>
                <w:szCs w:val="20"/>
              </w:rPr>
            </w:pPr>
            <w:r>
              <w:rPr>
                <w:b/>
                <w:sz w:val="20"/>
                <w:szCs w:val="20"/>
              </w:rPr>
              <w:t xml:space="preserve">       </w:t>
            </w:r>
            <w:r w:rsidRPr="00062DDF">
              <w:rPr>
                <w:b/>
                <w:sz w:val="20"/>
                <w:szCs w:val="20"/>
              </w:rPr>
              <w:t>11 – 18%</w:t>
            </w:r>
          </w:p>
          <w:p w14:paraId="240A7B6C" w14:textId="66FD0578" w:rsidR="0033512C" w:rsidRPr="00062DDF" w:rsidRDefault="0033512C" w:rsidP="00062DDF">
            <w:pPr>
              <w:spacing w:line="360" w:lineRule="auto"/>
              <w:rPr>
                <w:b/>
                <w:sz w:val="20"/>
                <w:szCs w:val="20"/>
              </w:rPr>
            </w:pPr>
            <w:r>
              <w:rPr>
                <w:b/>
                <w:sz w:val="20"/>
                <w:szCs w:val="20"/>
              </w:rPr>
              <w:t>**Major work of the grade</w:t>
            </w:r>
          </w:p>
        </w:tc>
        <w:tc>
          <w:tcPr>
            <w:tcW w:w="4590" w:type="dxa"/>
          </w:tcPr>
          <w:p w14:paraId="23687746" w14:textId="77777777" w:rsidR="000422E0" w:rsidRDefault="00F97559" w:rsidP="000422E0">
            <w:pPr>
              <w:pStyle w:val="ListParagraph"/>
              <w:spacing w:line="360" w:lineRule="auto"/>
              <w:ind w:left="54"/>
              <w:rPr>
                <w:b/>
                <w:sz w:val="20"/>
                <w:szCs w:val="20"/>
              </w:rPr>
            </w:pPr>
            <w:r>
              <w:rPr>
                <w:b/>
                <w:sz w:val="20"/>
                <w:szCs w:val="20"/>
              </w:rPr>
              <w:t>Computing rates and unit rates with like and unlike units. Determining whether two rations are proportional. Solving for proportions, including percent proportions.</w:t>
            </w:r>
          </w:p>
          <w:p w14:paraId="1EB85A1D" w14:textId="77777777" w:rsidR="000422E0" w:rsidRDefault="000422E0" w:rsidP="000422E0">
            <w:pPr>
              <w:pStyle w:val="ListParagraph"/>
              <w:spacing w:line="360" w:lineRule="auto"/>
              <w:ind w:left="54"/>
              <w:rPr>
                <w:b/>
                <w:sz w:val="20"/>
                <w:szCs w:val="20"/>
              </w:rPr>
            </w:pPr>
          </w:p>
          <w:p w14:paraId="57DE0342" w14:textId="77777777" w:rsidR="000422E0" w:rsidRDefault="000422E0" w:rsidP="000422E0">
            <w:pPr>
              <w:pStyle w:val="ListParagraph"/>
              <w:spacing w:line="360" w:lineRule="auto"/>
              <w:ind w:left="54"/>
              <w:rPr>
                <w:b/>
                <w:sz w:val="20"/>
                <w:szCs w:val="20"/>
              </w:rPr>
            </w:pPr>
          </w:p>
          <w:p w14:paraId="795F756B" w14:textId="77777777" w:rsidR="000422E0" w:rsidRDefault="000422E0" w:rsidP="000422E0">
            <w:pPr>
              <w:pStyle w:val="ListParagraph"/>
              <w:spacing w:line="360" w:lineRule="auto"/>
              <w:ind w:left="54"/>
              <w:rPr>
                <w:b/>
                <w:sz w:val="20"/>
                <w:szCs w:val="20"/>
              </w:rPr>
            </w:pPr>
          </w:p>
          <w:p w14:paraId="4E2EE3BC" w14:textId="7B2FF1E2" w:rsidR="000422E0" w:rsidRPr="000422E0" w:rsidRDefault="000422E0" w:rsidP="000422E0">
            <w:pPr>
              <w:pStyle w:val="ListParagraph"/>
              <w:spacing w:line="360" w:lineRule="auto"/>
              <w:ind w:left="54"/>
              <w:rPr>
                <w:b/>
                <w:sz w:val="20"/>
                <w:szCs w:val="20"/>
              </w:rPr>
            </w:pPr>
          </w:p>
        </w:tc>
      </w:tr>
      <w:tr w:rsidR="00F97559" w:rsidRPr="0051362D" w14:paraId="4D8BB953" w14:textId="77777777" w:rsidTr="000422E0">
        <w:trPr>
          <w:jc w:val="center"/>
        </w:trPr>
        <w:tc>
          <w:tcPr>
            <w:tcW w:w="10075" w:type="dxa"/>
            <w:gridSpan w:val="4"/>
            <w:shd w:val="clear" w:color="auto" w:fill="4F81BD" w:themeFill="accent1"/>
          </w:tcPr>
          <w:p w14:paraId="0162FCDF" w14:textId="412DB11B" w:rsidR="00F97559" w:rsidRPr="0051362D" w:rsidRDefault="00F97559" w:rsidP="006D24C0">
            <w:pPr>
              <w:spacing w:line="360" w:lineRule="auto"/>
              <w:jc w:val="center"/>
              <w:rPr>
                <w:b/>
                <w:sz w:val="28"/>
                <w:szCs w:val="28"/>
              </w:rPr>
            </w:pPr>
            <w:r>
              <w:rPr>
                <w:b/>
                <w:sz w:val="28"/>
                <w:szCs w:val="28"/>
              </w:rPr>
              <w:lastRenderedPageBreak/>
              <w:t>THIRD</w:t>
            </w:r>
            <w:r w:rsidRPr="0051362D">
              <w:rPr>
                <w:b/>
                <w:sz w:val="28"/>
                <w:szCs w:val="28"/>
              </w:rPr>
              <w:t xml:space="preserve"> QUARTER</w:t>
            </w:r>
          </w:p>
        </w:tc>
      </w:tr>
      <w:tr w:rsidR="00F97559" w:rsidRPr="0051362D" w14:paraId="6F8EA614" w14:textId="77777777" w:rsidTr="000422E0">
        <w:trPr>
          <w:jc w:val="center"/>
        </w:trPr>
        <w:tc>
          <w:tcPr>
            <w:tcW w:w="2366" w:type="dxa"/>
            <w:shd w:val="clear" w:color="auto" w:fill="C6D9F1" w:themeFill="text2" w:themeFillTint="33"/>
            <w:vAlign w:val="center"/>
          </w:tcPr>
          <w:p w14:paraId="0451757B" w14:textId="410E0E99" w:rsidR="00F97559" w:rsidRPr="0051362D" w:rsidRDefault="00F97559" w:rsidP="00F97559">
            <w:pPr>
              <w:jc w:val="center"/>
              <w:rPr>
                <w:b/>
                <w:sz w:val="28"/>
                <w:szCs w:val="28"/>
              </w:rPr>
            </w:pPr>
            <w:r w:rsidRPr="0051362D">
              <w:rPr>
                <w:b/>
                <w:sz w:val="28"/>
                <w:szCs w:val="28"/>
              </w:rPr>
              <w:t>UNIT</w:t>
            </w:r>
            <w:r>
              <w:rPr>
                <w:b/>
                <w:sz w:val="28"/>
                <w:szCs w:val="28"/>
              </w:rPr>
              <w:t xml:space="preserve"> &amp; Go Math Lessons</w:t>
            </w:r>
          </w:p>
        </w:tc>
        <w:tc>
          <w:tcPr>
            <w:tcW w:w="1409" w:type="dxa"/>
            <w:shd w:val="clear" w:color="auto" w:fill="C6D9F1" w:themeFill="text2" w:themeFillTint="33"/>
            <w:vAlign w:val="center"/>
          </w:tcPr>
          <w:p w14:paraId="4414A3D5" w14:textId="77777777" w:rsidR="00F97559" w:rsidRPr="0051362D" w:rsidRDefault="00F97559" w:rsidP="00F97559">
            <w:pPr>
              <w:spacing w:line="360" w:lineRule="auto"/>
              <w:jc w:val="center"/>
              <w:rPr>
                <w:b/>
                <w:sz w:val="28"/>
                <w:szCs w:val="28"/>
              </w:rPr>
            </w:pPr>
            <w:r w:rsidRPr="0051362D">
              <w:rPr>
                <w:b/>
                <w:sz w:val="28"/>
                <w:szCs w:val="28"/>
              </w:rPr>
              <w:t>PACING</w:t>
            </w:r>
          </w:p>
        </w:tc>
        <w:tc>
          <w:tcPr>
            <w:tcW w:w="1710" w:type="dxa"/>
            <w:shd w:val="clear" w:color="auto" w:fill="C6D9F1" w:themeFill="text2" w:themeFillTint="33"/>
            <w:vAlign w:val="center"/>
          </w:tcPr>
          <w:p w14:paraId="3CD0891D" w14:textId="29CB3987" w:rsidR="00F97559" w:rsidRPr="0051362D" w:rsidRDefault="00F97559" w:rsidP="00F97559">
            <w:pPr>
              <w:spacing w:line="360" w:lineRule="auto"/>
              <w:jc w:val="center"/>
              <w:rPr>
                <w:b/>
                <w:sz w:val="28"/>
                <w:szCs w:val="28"/>
              </w:rPr>
            </w:pPr>
            <w:r>
              <w:rPr>
                <w:b/>
                <w:sz w:val="28"/>
                <w:szCs w:val="28"/>
              </w:rPr>
              <w:t xml:space="preserve">% of </w:t>
            </w:r>
            <w:proofErr w:type="spellStart"/>
            <w:r>
              <w:rPr>
                <w:b/>
                <w:sz w:val="28"/>
                <w:szCs w:val="28"/>
              </w:rPr>
              <w:t>TNReady</w:t>
            </w:r>
            <w:proofErr w:type="spellEnd"/>
          </w:p>
        </w:tc>
        <w:tc>
          <w:tcPr>
            <w:tcW w:w="4590" w:type="dxa"/>
            <w:shd w:val="clear" w:color="auto" w:fill="C6D9F1" w:themeFill="text2" w:themeFillTint="33"/>
            <w:vAlign w:val="center"/>
          </w:tcPr>
          <w:p w14:paraId="66DE0C67" w14:textId="6938A2F5" w:rsidR="00F97559" w:rsidRPr="0051362D" w:rsidRDefault="00F97559" w:rsidP="00F97559">
            <w:pPr>
              <w:spacing w:line="360" w:lineRule="auto"/>
              <w:jc w:val="center"/>
              <w:rPr>
                <w:b/>
                <w:sz w:val="28"/>
                <w:szCs w:val="28"/>
              </w:rPr>
            </w:pPr>
            <w:r w:rsidRPr="0051362D">
              <w:rPr>
                <w:b/>
                <w:sz w:val="28"/>
                <w:szCs w:val="28"/>
              </w:rPr>
              <w:t>TOPICS</w:t>
            </w:r>
          </w:p>
        </w:tc>
      </w:tr>
      <w:tr w:rsidR="00F97559" w14:paraId="48B67288" w14:textId="77777777" w:rsidTr="000422E0">
        <w:trPr>
          <w:jc w:val="center"/>
        </w:trPr>
        <w:tc>
          <w:tcPr>
            <w:tcW w:w="2366" w:type="dxa"/>
          </w:tcPr>
          <w:p w14:paraId="4E86453A" w14:textId="7805D227" w:rsidR="00F97559" w:rsidRPr="0051362D" w:rsidRDefault="00F97559" w:rsidP="004670BF">
            <w:pPr>
              <w:spacing w:line="360" w:lineRule="auto"/>
              <w:jc w:val="center"/>
              <w:rPr>
                <w:b/>
                <w:sz w:val="22"/>
                <w:szCs w:val="22"/>
              </w:rPr>
            </w:pPr>
            <w:r>
              <w:rPr>
                <w:b/>
                <w:sz w:val="22"/>
                <w:szCs w:val="22"/>
              </w:rPr>
              <w:t>Geometry</w:t>
            </w:r>
          </w:p>
        </w:tc>
        <w:tc>
          <w:tcPr>
            <w:tcW w:w="1409" w:type="dxa"/>
          </w:tcPr>
          <w:p w14:paraId="101A9492" w14:textId="433A974B" w:rsidR="00F97559" w:rsidRPr="0051362D" w:rsidRDefault="00F97559" w:rsidP="004670BF">
            <w:pPr>
              <w:spacing w:line="360" w:lineRule="auto"/>
              <w:jc w:val="center"/>
              <w:rPr>
                <w:b/>
                <w:sz w:val="22"/>
                <w:szCs w:val="22"/>
              </w:rPr>
            </w:pPr>
            <w:r>
              <w:rPr>
                <w:b/>
                <w:sz w:val="22"/>
                <w:szCs w:val="22"/>
              </w:rPr>
              <w:t>4 ½ weeks</w:t>
            </w:r>
          </w:p>
        </w:tc>
        <w:tc>
          <w:tcPr>
            <w:tcW w:w="1710" w:type="dxa"/>
          </w:tcPr>
          <w:p w14:paraId="6D3A9BFC" w14:textId="77777777" w:rsidR="00F97559" w:rsidRDefault="0033512C" w:rsidP="0033512C">
            <w:pPr>
              <w:pStyle w:val="ListParagraph"/>
              <w:spacing w:line="360" w:lineRule="auto"/>
              <w:ind w:left="54"/>
              <w:jc w:val="center"/>
              <w:rPr>
                <w:b/>
                <w:sz w:val="20"/>
                <w:szCs w:val="20"/>
              </w:rPr>
            </w:pPr>
            <w:r>
              <w:rPr>
                <w:b/>
                <w:sz w:val="20"/>
                <w:szCs w:val="20"/>
              </w:rPr>
              <w:t>24 – 31%</w:t>
            </w:r>
          </w:p>
          <w:p w14:paraId="309D9155" w14:textId="77777777" w:rsidR="0033512C" w:rsidRDefault="0033512C" w:rsidP="0033512C">
            <w:pPr>
              <w:pStyle w:val="ListParagraph"/>
              <w:spacing w:line="360" w:lineRule="auto"/>
              <w:ind w:left="54"/>
              <w:jc w:val="center"/>
              <w:rPr>
                <w:b/>
                <w:sz w:val="20"/>
                <w:szCs w:val="20"/>
              </w:rPr>
            </w:pPr>
          </w:p>
          <w:p w14:paraId="6AA1044B" w14:textId="33929FB0" w:rsidR="0033512C" w:rsidRDefault="0033512C" w:rsidP="0033512C">
            <w:pPr>
              <w:pStyle w:val="ListParagraph"/>
              <w:spacing w:line="360" w:lineRule="auto"/>
              <w:ind w:left="54"/>
              <w:jc w:val="center"/>
              <w:rPr>
                <w:b/>
                <w:sz w:val="20"/>
                <w:szCs w:val="20"/>
              </w:rPr>
            </w:pPr>
            <w:r>
              <w:rPr>
                <w:b/>
                <w:sz w:val="20"/>
                <w:szCs w:val="20"/>
              </w:rPr>
              <w:t>(along with statistics and probability)</w:t>
            </w:r>
          </w:p>
        </w:tc>
        <w:tc>
          <w:tcPr>
            <w:tcW w:w="4590" w:type="dxa"/>
          </w:tcPr>
          <w:p w14:paraId="66C257FD" w14:textId="2728FDE5" w:rsidR="00F97559" w:rsidRPr="0092567D" w:rsidRDefault="00F97559" w:rsidP="00E97E95">
            <w:pPr>
              <w:pStyle w:val="ListParagraph"/>
              <w:spacing w:line="360" w:lineRule="auto"/>
              <w:ind w:left="54"/>
              <w:rPr>
                <w:b/>
                <w:sz w:val="20"/>
                <w:szCs w:val="20"/>
              </w:rPr>
            </w:pPr>
            <w:r>
              <w:rPr>
                <w:b/>
                <w:sz w:val="20"/>
                <w:szCs w:val="20"/>
              </w:rPr>
              <w:t>Using scales and scale models to find the actual length of an item. Classifying triangles and quadrilaterals. Understanding parts of a circle and the formula for area of a circle. Know how to solve problems with supplementary, complementary and vertical angles. Solve real world problems involving area, surface area and volume of three dimensional objects.</w:t>
            </w:r>
          </w:p>
        </w:tc>
      </w:tr>
      <w:tr w:rsidR="00F97559" w14:paraId="6B3502DC" w14:textId="77777777" w:rsidTr="000422E0">
        <w:trPr>
          <w:trHeight w:val="2510"/>
          <w:jc w:val="center"/>
        </w:trPr>
        <w:tc>
          <w:tcPr>
            <w:tcW w:w="2366" w:type="dxa"/>
          </w:tcPr>
          <w:p w14:paraId="1A549B48" w14:textId="734C0C15" w:rsidR="00F97559" w:rsidRPr="0051362D" w:rsidRDefault="00F97559" w:rsidP="004670BF">
            <w:pPr>
              <w:spacing w:line="360" w:lineRule="auto"/>
              <w:jc w:val="center"/>
              <w:rPr>
                <w:b/>
                <w:sz w:val="22"/>
                <w:szCs w:val="22"/>
              </w:rPr>
            </w:pPr>
            <w:r>
              <w:rPr>
                <w:b/>
                <w:sz w:val="22"/>
                <w:szCs w:val="22"/>
              </w:rPr>
              <w:t>Statistics</w:t>
            </w:r>
          </w:p>
        </w:tc>
        <w:tc>
          <w:tcPr>
            <w:tcW w:w="1409" w:type="dxa"/>
          </w:tcPr>
          <w:p w14:paraId="3AD5E4C2" w14:textId="52152671" w:rsidR="00F97559" w:rsidRPr="0051362D" w:rsidRDefault="00F97559" w:rsidP="004670BF">
            <w:pPr>
              <w:spacing w:line="360" w:lineRule="auto"/>
              <w:jc w:val="center"/>
              <w:rPr>
                <w:b/>
                <w:sz w:val="22"/>
                <w:szCs w:val="22"/>
              </w:rPr>
            </w:pPr>
            <w:r>
              <w:rPr>
                <w:b/>
                <w:sz w:val="22"/>
                <w:szCs w:val="22"/>
              </w:rPr>
              <w:t>4 ½ weeks</w:t>
            </w:r>
          </w:p>
        </w:tc>
        <w:tc>
          <w:tcPr>
            <w:tcW w:w="1710" w:type="dxa"/>
          </w:tcPr>
          <w:p w14:paraId="152CAE24" w14:textId="77777777" w:rsidR="0033512C" w:rsidRDefault="0033512C" w:rsidP="0033512C">
            <w:pPr>
              <w:pStyle w:val="ListParagraph"/>
              <w:spacing w:line="360" w:lineRule="auto"/>
              <w:ind w:left="54"/>
              <w:jc w:val="center"/>
              <w:rPr>
                <w:b/>
                <w:sz w:val="20"/>
                <w:szCs w:val="20"/>
              </w:rPr>
            </w:pPr>
            <w:r>
              <w:rPr>
                <w:b/>
                <w:sz w:val="20"/>
                <w:szCs w:val="20"/>
              </w:rPr>
              <w:t>24 – 31%</w:t>
            </w:r>
          </w:p>
          <w:p w14:paraId="6E216AB9" w14:textId="77777777" w:rsidR="0033512C" w:rsidRDefault="0033512C" w:rsidP="0033512C">
            <w:pPr>
              <w:pStyle w:val="ListParagraph"/>
              <w:spacing w:line="360" w:lineRule="auto"/>
              <w:ind w:left="54"/>
              <w:jc w:val="center"/>
              <w:rPr>
                <w:b/>
                <w:sz w:val="20"/>
                <w:szCs w:val="20"/>
              </w:rPr>
            </w:pPr>
          </w:p>
          <w:p w14:paraId="1E4C521E" w14:textId="2745F33A" w:rsidR="00F97559" w:rsidRDefault="0033512C" w:rsidP="0033512C">
            <w:pPr>
              <w:pStyle w:val="ListParagraph"/>
              <w:spacing w:line="360" w:lineRule="auto"/>
              <w:ind w:left="54"/>
              <w:rPr>
                <w:b/>
                <w:sz w:val="20"/>
                <w:szCs w:val="20"/>
              </w:rPr>
            </w:pPr>
            <w:r>
              <w:rPr>
                <w:b/>
                <w:sz w:val="20"/>
                <w:szCs w:val="20"/>
              </w:rPr>
              <w:t>(along with geometry and probability)</w:t>
            </w:r>
          </w:p>
        </w:tc>
        <w:tc>
          <w:tcPr>
            <w:tcW w:w="4590" w:type="dxa"/>
          </w:tcPr>
          <w:p w14:paraId="3AB5CAE2" w14:textId="3E2EA3BD" w:rsidR="00F97559" w:rsidRPr="001207D0" w:rsidRDefault="00F97559" w:rsidP="00E97E95">
            <w:pPr>
              <w:pStyle w:val="ListParagraph"/>
              <w:spacing w:line="360" w:lineRule="auto"/>
              <w:ind w:left="54"/>
              <w:rPr>
                <w:b/>
                <w:sz w:val="20"/>
                <w:szCs w:val="20"/>
              </w:rPr>
            </w:pPr>
            <w:r>
              <w:rPr>
                <w:b/>
                <w:sz w:val="20"/>
                <w:szCs w:val="20"/>
              </w:rPr>
              <w:t>Understand populations and random samples, and how to use data from those random samples. Identify measurements of central tendency and measures of variation, including upper and lower quartiles, inter quartile range and minimum and maximum.</w:t>
            </w:r>
          </w:p>
        </w:tc>
      </w:tr>
      <w:tr w:rsidR="00F97559" w14:paraId="3D251450" w14:textId="77777777" w:rsidTr="000422E0">
        <w:trPr>
          <w:jc w:val="center"/>
        </w:trPr>
        <w:tc>
          <w:tcPr>
            <w:tcW w:w="10075" w:type="dxa"/>
            <w:gridSpan w:val="4"/>
            <w:shd w:val="clear" w:color="auto" w:fill="4F81BD" w:themeFill="accent1"/>
          </w:tcPr>
          <w:p w14:paraId="36502EED" w14:textId="70F7152C" w:rsidR="00F97559" w:rsidRPr="0051362D" w:rsidRDefault="00F97559" w:rsidP="004670BF">
            <w:pPr>
              <w:spacing w:line="360" w:lineRule="auto"/>
              <w:jc w:val="center"/>
              <w:rPr>
                <w:b/>
                <w:sz w:val="28"/>
                <w:szCs w:val="28"/>
              </w:rPr>
            </w:pPr>
            <w:r>
              <w:rPr>
                <w:b/>
                <w:sz w:val="28"/>
                <w:szCs w:val="28"/>
              </w:rPr>
              <w:t>FOURTH</w:t>
            </w:r>
            <w:r w:rsidRPr="0051362D">
              <w:rPr>
                <w:b/>
                <w:sz w:val="28"/>
                <w:szCs w:val="28"/>
              </w:rPr>
              <w:t xml:space="preserve"> QUARTER</w:t>
            </w:r>
          </w:p>
        </w:tc>
      </w:tr>
      <w:tr w:rsidR="00F97559" w14:paraId="0DC35A8F" w14:textId="77777777" w:rsidTr="000422E0">
        <w:trPr>
          <w:jc w:val="center"/>
        </w:trPr>
        <w:tc>
          <w:tcPr>
            <w:tcW w:w="2366" w:type="dxa"/>
            <w:shd w:val="clear" w:color="auto" w:fill="C6D9F1" w:themeFill="text2" w:themeFillTint="33"/>
            <w:vAlign w:val="center"/>
          </w:tcPr>
          <w:p w14:paraId="52890F36" w14:textId="1F6ADBB0" w:rsidR="00F97559" w:rsidRPr="0051362D" w:rsidRDefault="00F97559" w:rsidP="00F97559">
            <w:pPr>
              <w:jc w:val="center"/>
              <w:rPr>
                <w:b/>
                <w:sz w:val="28"/>
                <w:szCs w:val="28"/>
              </w:rPr>
            </w:pPr>
            <w:r w:rsidRPr="0051362D">
              <w:rPr>
                <w:b/>
                <w:sz w:val="28"/>
                <w:szCs w:val="28"/>
              </w:rPr>
              <w:t>UNIT</w:t>
            </w:r>
            <w:r>
              <w:rPr>
                <w:b/>
                <w:sz w:val="28"/>
                <w:szCs w:val="28"/>
              </w:rPr>
              <w:t xml:space="preserve"> &amp; Go Math Lessons</w:t>
            </w:r>
          </w:p>
        </w:tc>
        <w:tc>
          <w:tcPr>
            <w:tcW w:w="1409" w:type="dxa"/>
            <w:shd w:val="clear" w:color="auto" w:fill="C6D9F1" w:themeFill="text2" w:themeFillTint="33"/>
            <w:vAlign w:val="center"/>
          </w:tcPr>
          <w:p w14:paraId="6F1975C3" w14:textId="77777777" w:rsidR="00F97559" w:rsidRPr="0051362D" w:rsidRDefault="00F97559" w:rsidP="00F97559">
            <w:pPr>
              <w:spacing w:line="360" w:lineRule="auto"/>
              <w:jc w:val="center"/>
              <w:rPr>
                <w:b/>
                <w:sz w:val="28"/>
                <w:szCs w:val="28"/>
              </w:rPr>
            </w:pPr>
            <w:r w:rsidRPr="0051362D">
              <w:rPr>
                <w:b/>
                <w:sz w:val="28"/>
                <w:szCs w:val="28"/>
              </w:rPr>
              <w:t>PACING</w:t>
            </w:r>
          </w:p>
        </w:tc>
        <w:tc>
          <w:tcPr>
            <w:tcW w:w="1710" w:type="dxa"/>
            <w:shd w:val="clear" w:color="auto" w:fill="C6D9F1" w:themeFill="text2" w:themeFillTint="33"/>
            <w:vAlign w:val="center"/>
          </w:tcPr>
          <w:p w14:paraId="46F9BC76" w14:textId="3EBBC130" w:rsidR="00F97559" w:rsidRPr="0051362D" w:rsidRDefault="00F97559" w:rsidP="00F97559">
            <w:pPr>
              <w:spacing w:line="360" w:lineRule="auto"/>
              <w:jc w:val="center"/>
              <w:rPr>
                <w:b/>
                <w:sz w:val="28"/>
                <w:szCs w:val="28"/>
              </w:rPr>
            </w:pPr>
            <w:r>
              <w:rPr>
                <w:b/>
                <w:sz w:val="28"/>
                <w:szCs w:val="28"/>
              </w:rPr>
              <w:t xml:space="preserve">% of </w:t>
            </w:r>
            <w:proofErr w:type="spellStart"/>
            <w:r>
              <w:rPr>
                <w:b/>
                <w:sz w:val="28"/>
                <w:szCs w:val="28"/>
              </w:rPr>
              <w:t>TNReady</w:t>
            </w:r>
            <w:proofErr w:type="spellEnd"/>
          </w:p>
        </w:tc>
        <w:tc>
          <w:tcPr>
            <w:tcW w:w="4590" w:type="dxa"/>
            <w:shd w:val="clear" w:color="auto" w:fill="C6D9F1" w:themeFill="text2" w:themeFillTint="33"/>
            <w:vAlign w:val="center"/>
          </w:tcPr>
          <w:p w14:paraId="3EC7B04D" w14:textId="20BE7E23" w:rsidR="00F97559" w:rsidRPr="0051362D" w:rsidRDefault="00F97559" w:rsidP="00F97559">
            <w:pPr>
              <w:spacing w:line="360" w:lineRule="auto"/>
              <w:jc w:val="center"/>
              <w:rPr>
                <w:b/>
                <w:sz w:val="28"/>
                <w:szCs w:val="28"/>
              </w:rPr>
            </w:pPr>
            <w:r w:rsidRPr="0051362D">
              <w:rPr>
                <w:b/>
                <w:sz w:val="28"/>
                <w:szCs w:val="28"/>
              </w:rPr>
              <w:t>TOPICS</w:t>
            </w:r>
          </w:p>
        </w:tc>
      </w:tr>
      <w:tr w:rsidR="00F97559" w14:paraId="2A1022B9" w14:textId="77777777" w:rsidTr="000422E0">
        <w:trPr>
          <w:jc w:val="center"/>
        </w:trPr>
        <w:tc>
          <w:tcPr>
            <w:tcW w:w="2366" w:type="dxa"/>
          </w:tcPr>
          <w:p w14:paraId="1A75D899" w14:textId="68921A2C" w:rsidR="00F97559" w:rsidRPr="0051362D" w:rsidRDefault="00F97559" w:rsidP="004670BF">
            <w:pPr>
              <w:spacing w:line="360" w:lineRule="auto"/>
              <w:jc w:val="center"/>
              <w:rPr>
                <w:b/>
                <w:sz w:val="22"/>
                <w:szCs w:val="22"/>
              </w:rPr>
            </w:pPr>
            <w:r>
              <w:rPr>
                <w:b/>
                <w:sz w:val="22"/>
                <w:szCs w:val="22"/>
              </w:rPr>
              <w:t>Probability</w:t>
            </w:r>
          </w:p>
        </w:tc>
        <w:tc>
          <w:tcPr>
            <w:tcW w:w="1409" w:type="dxa"/>
          </w:tcPr>
          <w:p w14:paraId="36032559" w14:textId="771F4B15" w:rsidR="00F97559" w:rsidRPr="0051362D" w:rsidRDefault="00F97559" w:rsidP="004670BF">
            <w:pPr>
              <w:spacing w:line="360" w:lineRule="auto"/>
              <w:jc w:val="center"/>
              <w:rPr>
                <w:b/>
                <w:sz w:val="22"/>
                <w:szCs w:val="22"/>
              </w:rPr>
            </w:pPr>
            <w:r>
              <w:rPr>
                <w:b/>
                <w:sz w:val="22"/>
                <w:szCs w:val="22"/>
              </w:rPr>
              <w:t>3 weeks</w:t>
            </w:r>
          </w:p>
        </w:tc>
        <w:tc>
          <w:tcPr>
            <w:tcW w:w="1710" w:type="dxa"/>
          </w:tcPr>
          <w:p w14:paraId="4190D069" w14:textId="77777777" w:rsidR="0033512C" w:rsidRDefault="0033512C" w:rsidP="0033512C">
            <w:pPr>
              <w:pStyle w:val="ListParagraph"/>
              <w:spacing w:line="360" w:lineRule="auto"/>
              <w:ind w:left="54"/>
              <w:jc w:val="center"/>
              <w:rPr>
                <w:b/>
                <w:sz w:val="20"/>
                <w:szCs w:val="20"/>
              </w:rPr>
            </w:pPr>
            <w:r>
              <w:rPr>
                <w:b/>
                <w:sz w:val="20"/>
                <w:szCs w:val="20"/>
              </w:rPr>
              <w:t>24 – 31%</w:t>
            </w:r>
          </w:p>
          <w:p w14:paraId="6B982BE7" w14:textId="77777777" w:rsidR="0033512C" w:rsidRDefault="0033512C" w:rsidP="0033512C">
            <w:pPr>
              <w:pStyle w:val="ListParagraph"/>
              <w:spacing w:line="360" w:lineRule="auto"/>
              <w:ind w:left="54"/>
              <w:jc w:val="center"/>
              <w:rPr>
                <w:b/>
                <w:sz w:val="20"/>
                <w:szCs w:val="20"/>
              </w:rPr>
            </w:pPr>
          </w:p>
          <w:p w14:paraId="5C1EEC1D" w14:textId="0AC26F15" w:rsidR="00F97559" w:rsidRDefault="0033512C" w:rsidP="0033512C">
            <w:pPr>
              <w:pStyle w:val="ListParagraph"/>
              <w:spacing w:line="360" w:lineRule="auto"/>
              <w:ind w:left="54"/>
              <w:rPr>
                <w:b/>
                <w:sz w:val="20"/>
                <w:szCs w:val="20"/>
              </w:rPr>
            </w:pPr>
            <w:r>
              <w:rPr>
                <w:b/>
                <w:sz w:val="20"/>
                <w:szCs w:val="20"/>
              </w:rPr>
              <w:t xml:space="preserve">(along with geometry </w:t>
            </w:r>
            <w:proofErr w:type="gramStart"/>
            <w:r>
              <w:rPr>
                <w:b/>
                <w:sz w:val="20"/>
                <w:szCs w:val="20"/>
              </w:rPr>
              <w:t>and  statistics</w:t>
            </w:r>
            <w:proofErr w:type="gramEnd"/>
            <w:r>
              <w:rPr>
                <w:b/>
                <w:sz w:val="20"/>
                <w:szCs w:val="20"/>
              </w:rPr>
              <w:t>)</w:t>
            </w:r>
          </w:p>
        </w:tc>
        <w:tc>
          <w:tcPr>
            <w:tcW w:w="4590" w:type="dxa"/>
          </w:tcPr>
          <w:p w14:paraId="31BC90EA" w14:textId="75BFDA19" w:rsidR="00F97559" w:rsidRPr="0051362D" w:rsidRDefault="00F97559" w:rsidP="00E97E95">
            <w:pPr>
              <w:pStyle w:val="ListParagraph"/>
              <w:spacing w:line="360" w:lineRule="auto"/>
              <w:ind w:left="54"/>
              <w:rPr>
                <w:b/>
                <w:sz w:val="20"/>
                <w:szCs w:val="20"/>
              </w:rPr>
            </w:pPr>
            <w:r>
              <w:rPr>
                <w:b/>
                <w:sz w:val="20"/>
                <w:szCs w:val="20"/>
              </w:rPr>
              <w:t>Theoretical probability, experimental probability, likely or unlikely, comparison of theoretical and experimental, number of possible outcomes, compound probability, sample space, tree diagrams, organized list, frequencies for compound events</w:t>
            </w:r>
          </w:p>
        </w:tc>
      </w:tr>
      <w:tr w:rsidR="00F97559" w14:paraId="4892C40B" w14:textId="77777777" w:rsidTr="000422E0">
        <w:trPr>
          <w:jc w:val="center"/>
        </w:trPr>
        <w:tc>
          <w:tcPr>
            <w:tcW w:w="2366" w:type="dxa"/>
          </w:tcPr>
          <w:p w14:paraId="4810D226" w14:textId="63ADE026" w:rsidR="00F97559" w:rsidRPr="0051362D" w:rsidRDefault="00F97559" w:rsidP="004670BF">
            <w:pPr>
              <w:spacing w:line="360" w:lineRule="auto"/>
              <w:jc w:val="center"/>
              <w:rPr>
                <w:b/>
                <w:sz w:val="22"/>
                <w:szCs w:val="22"/>
              </w:rPr>
            </w:pPr>
            <w:proofErr w:type="spellStart"/>
            <w:r>
              <w:rPr>
                <w:b/>
                <w:sz w:val="22"/>
                <w:szCs w:val="22"/>
              </w:rPr>
              <w:t>TNReady</w:t>
            </w:r>
            <w:proofErr w:type="spellEnd"/>
            <w:r>
              <w:rPr>
                <w:b/>
                <w:sz w:val="22"/>
                <w:szCs w:val="22"/>
              </w:rPr>
              <w:t xml:space="preserve"> Part II Preparation</w:t>
            </w:r>
          </w:p>
        </w:tc>
        <w:tc>
          <w:tcPr>
            <w:tcW w:w="1409" w:type="dxa"/>
          </w:tcPr>
          <w:p w14:paraId="485AC576" w14:textId="0F805F73" w:rsidR="00F97559" w:rsidRPr="0051362D" w:rsidRDefault="00F97559" w:rsidP="004670BF">
            <w:pPr>
              <w:spacing w:line="360" w:lineRule="auto"/>
              <w:jc w:val="center"/>
              <w:rPr>
                <w:b/>
                <w:sz w:val="22"/>
                <w:szCs w:val="22"/>
              </w:rPr>
            </w:pPr>
            <w:r>
              <w:rPr>
                <w:b/>
                <w:sz w:val="22"/>
                <w:szCs w:val="22"/>
              </w:rPr>
              <w:t xml:space="preserve">3 weeks </w:t>
            </w:r>
          </w:p>
        </w:tc>
        <w:tc>
          <w:tcPr>
            <w:tcW w:w="1710" w:type="dxa"/>
          </w:tcPr>
          <w:p w14:paraId="3BC5197A" w14:textId="77777777" w:rsidR="00F97559" w:rsidRDefault="00F97559" w:rsidP="00E97E95">
            <w:pPr>
              <w:spacing w:line="360" w:lineRule="auto"/>
              <w:ind w:left="-126" w:firstLine="180"/>
              <w:rPr>
                <w:b/>
                <w:sz w:val="20"/>
                <w:szCs w:val="20"/>
              </w:rPr>
            </w:pPr>
          </w:p>
        </w:tc>
        <w:tc>
          <w:tcPr>
            <w:tcW w:w="4590" w:type="dxa"/>
          </w:tcPr>
          <w:p w14:paraId="7D394295" w14:textId="2954F844" w:rsidR="00F97559" w:rsidRDefault="00F97559" w:rsidP="00E97E95">
            <w:pPr>
              <w:spacing w:line="360" w:lineRule="auto"/>
              <w:ind w:left="-126" w:firstLine="180"/>
              <w:rPr>
                <w:b/>
                <w:sz w:val="20"/>
                <w:szCs w:val="20"/>
              </w:rPr>
            </w:pPr>
            <w:r>
              <w:rPr>
                <w:b/>
                <w:sz w:val="20"/>
                <w:szCs w:val="20"/>
              </w:rPr>
              <w:t xml:space="preserve">Proportional relationships, rational </w:t>
            </w:r>
          </w:p>
          <w:p w14:paraId="08447F5E" w14:textId="77777777" w:rsidR="00F97559" w:rsidRDefault="00F97559" w:rsidP="00E97E95">
            <w:pPr>
              <w:spacing w:line="360" w:lineRule="auto"/>
              <w:ind w:left="-126" w:firstLine="180"/>
              <w:rPr>
                <w:b/>
                <w:sz w:val="20"/>
                <w:szCs w:val="20"/>
              </w:rPr>
            </w:pPr>
            <w:r>
              <w:rPr>
                <w:b/>
                <w:sz w:val="20"/>
                <w:szCs w:val="20"/>
              </w:rPr>
              <w:t xml:space="preserve">numbers, equations and inequalities, </w:t>
            </w:r>
          </w:p>
          <w:p w14:paraId="30CAB249" w14:textId="77777777" w:rsidR="00F97559" w:rsidRDefault="00F97559" w:rsidP="00E97E95">
            <w:pPr>
              <w:spacing w:line="360" w:lineRule="auto"/>
              <w:ind w:left="-126" w:firstLine="180"/>
              <w:rPr>
                <w:b/>
                <w:sz w:val="20"/>
                <w:szCs w:val="20"/>
              </w:rPr>
            </w:pPr>
            <w:r>
              <w:rPr>
                <w:b/>
                <w:sz w:val="20"/>
                <w:szCs w:val="20"/>
              </w:rPr>
              <w:t xml:space="preserve">geometrical figures, sampling, and </w:t>
            </w:r>
          </w:p>
          <w:p w14:paraId="5D56088C" w14:textId="3A4E217F" w:rsidR="00F97559" w:rsidRPr="00897CF2" w:rsidRDefault="00F97559" w:rsidP="00E97E95">
            <w:pPr>
              <w:spacing w:line="360" w:lineRule="auto"/>
              <w:ind w:left="-126" w:firstLine="180"/>
              <w:rPr>
                <w:b/>
                <w:sz w:val="20"/>
                <w:szCs w:val="20"/>
              </w:rPr>
            </w:pPr>
            <w:r>
              <w:rPr>
                <w:b/>
                <w:sz w:val="20"/>
                <w:szCs w:val="20"/>
              </w:rPr>
              <w:t>probability</w:t>
            </w:r>
          </w:p>
        </w:tc>
      </w:tr>
      <w:tr w:rsidR="00F97559" w14:paraId="2B7ED3FF" w14:textId="77777777" w:rsidTr="000422E0">
        <w:trPr>
          <w:jc w:val="center"/>
        </w:trPr>
        <w:tc>
          <w:tcPr>
            <w:tcW w:w="2366" w:type="dxa"/>
          </w:tcPr>
          <w:p w14:paraId="4177A407" w14:textId="6267CE31" w:rsidR="00F97559" w:rsidRPr="0051362D" w:rsidRDefault="00F97559" w:rsidP="004670BF">
            <w:pPr>
              <w:spacing w:line="360" w:lineRule="auto"/>
              <w:jc w:val="center"/>
              <w:rPr>
                <w:b/>
                <w:sz w:val="22"/>
                <w:szCs w:val="22"/>
              </w:rPr>
            </w:pPr>
            <w:r>
              <w:rPr>
                <w:b/>
                <w:sz w:val="22"/>
                <w:szCs w:val="22"/>
              </w:rPr>
              <w:t xml:space="preserve">After </w:t>
            </w:r>
            <w:proofErr w:type="spellStart"/>
            <w:r>
              <w:rPr>
                <w:b/>
                <w:sz w:val="22"/>
                <w:szCs w:val="22"/>
              </w:rPr>
              <w:t>TNReady</w:t>
            </w:r>
            <w:proofErr w:type="spellEnd"/>
            <w:r>
              <w:rPr>
                <w:b/>
                <w:sz w:val="22"/>
                <w:szCs w:val="22"/>
              </w:rPr>
              <w:t xml:space="preserve"> </w:t>
            </w:r>
          </w:p>
        </w:tc>
        <w:tc>
          <w:tcPr>
            <w:tcW w:w="1409" w:type="dxa"/>
          </w:tcPr>
          <w:p w14:paraId="25DC65B4" w14:textId="435E0B76" w:rsidR="00F97559" w:rsidRPr="0051362D" w:rsidRDefault="00F97559" w:rsidP="004670BF">
            <w:pPr>
              <w:spacing w:line="360" w:lineRule="auto"/>
              <w:jc w:val="center"/>
              <w:rPr>
                <w:b/>
                <w:sz w:val="22"/>
                <w:szCs w:val="22"/>
              </w:rPr>
            </w:pPr>
            <w:r>
              <w:rPr>
                <w:b/>
                <w:sz w:val="22"/>
                <w:szCs w:val="22"/>
              </w:rPr>
              <w:t>Remainder of the school year</w:t>
            </w:r>
          </w:p>
        </w:tc>
        <w:tc>
          <w:tcPr>
            <w:tcW w:w="1710" w:type="dxa"/>
          </w:tcPr>
          <w:p w14:paraId="2B8A3E3E" w14:textId="77777777" w:rsidR="00F97559" w:rsidRDefault="00F97559" w:rsidP="00E97E95">
            <w:pPr>
              <w:pStyle w:val="ListParagraph"/>
              <w:spacing w:line="360" w:lineRule="auto"/>
              <w:ind w:left="54"/>
              <w:rPr>
                <w:b/>
                <w:sz w:val="20"/>
                <w:szCs w:val="20"/>
              </w:rPr>
            </w:pPr>
          </w:p>
        </w:tc>
        <w:tc>
          <w:tcPr>
            <w:tcW w:w="4590" w:type="dxa"/>
          </w:tcPr>
          <w:p w14:paraId="133676F8" w14:textId="136F2FD2" w:rsidR="00F97559" w:rsidRPr="00A11378" w:rsidRDefault="00F97559" w:rsidP="00E97E95">
            <w:pPr>
              <w:pStyle w:val="ListParagraph"/>
              <w:spacing w:line="360" w:lineRule="auto"/>
              <w:ind w:left="54"/>
              <w:rPr>
                <w:b/>
                <w:sz w:val="20"/>
                <w:szCs w:val="20"/>
              </w:rPr>
            </w:pPr>
            <w:r>
              <w:rPr>
                <w:b/>
                <w:sz w:val="20"/>
                <w:szCs w:val="20"/>
              </w:rPr>
              <w:t>8</w:t>
            </w:r>
            <w:r w:rsidRPr="00E97E95">
              <w:rPr>
                <w:b/>
                <w:sz w:val="20"/>
                <w:szCs w:val="20"/>
                <w:vertAlign w:val="superscript"/>
              </w:rPr>
              <w:t>th</w:t>
            </w:r>
            <w:r>
              <w:rPr>
                <w:b/>
                <w:sz w:val="20"/>
                <w:szCs w:val="20"/>
              </w:rPr>
              <w:t xml:space="preserve"> grade readiness skills (suggestions: equations with variables on both sides, Pythagorean Theorem, Real number system, d=</w:t>
            </w:r>
            <w:proofErr w:type="spellStart"/>
            <w:r>
              <w:rPr>
                <w:b/>
                <w:sz w:val="20"/>
                <w:szCs w:val="20"/>
              </w:rPr>
              <w:t>rt</w:t>
            </w:r>
            <w:proofErr w:type="spellEnd"/>
            <w:r>
              <w:rPr>
                <w:b/>
                <w:sz w:val="20"/>
                <w:szCs w:val="20"/>
              </w:rPr>
              <w:t>)</w:t>
            </w:r>
          </w:p>
        </w:tc>
      </w:tr>
    </w:tbl>
    <w:p w14:paraId="5CFFE773" w14:textId="77777777" w:rsidR="00E3264E" w:rsidRPr="00E3264E" w:rsidRDefault="00E3264E" w:rsidP="000422E0">
      <w:pPr>
        <w:spacing w:line="360" w:lineRule="auto"/>
        <w:rPr>
          <w:b/>
          <w:sz w:val="32"/>
          <w:szCs w:val="32"/>
        </w:rPr>
      </w:pPr>
      <w:bookmarkStart w:id="0" w:name="_GoBack"/>
      <w:bookmarkEnd w:id="0"/>
    </w:p>
    <w:sectPr w:rsidR="00E3264E" w:rsidRPr="00E3264E" w:rsidSect="000422E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42B"/>
    <w:multiLevelType w:val="hybridMultilevel"/>
    <w:tmpl w:val="CC7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7E0"/>
    <w:multiLevelType w:val="hybridMultilevel"/>
    <w:tmpl w:val="9B26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0474"/>
    <w:multiLevelType w:val="hybridMultilevel"/>
    <w:tmpl w:val="12F4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5FF3"/>
    <w:multiLevelType w:val="hybridMultilevel"/>
    <w:tmpl w:val="7604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0235B"/>
    <w:multiLevelType w:val="hybridMultilevel"/>
    <w:tmpl w:val="121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C1CFC"/>
    <w:multiLevelType w:val="hybridMultilevel"/>
    <w:tmpl w:val="61EC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8669C"/>
    <w:multiLevelType w:val="hybridMultilevel"/>
    <w:tmpl w:val="58D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937D9"/>
    <w:multiLevelType w:val="hybridMultilevel"/>
    <w:tmpl w:val="684C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66484"/>
    <w:multiLevelType w:val="hybridMultilevel"/>
    <w:tmpl w:val="E884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0079D"/>
    <w:multiLevelType w:val="hybridMultilevel"/>
    <w:tmpl w:val="692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E22D5"/>
    <w:multiLevelType w:val="hybridMultilevel"/>
    <w:tmpl w:val="1CAA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91724"/>
    <w:multiLevelType w:val="hybridMultilevel"/>
    <w:tmpl w:val="FF8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31DE7"/>
    <w:multiLevelType w:val="hybridMultilevel"/>
    <w:tmpl w:val="9AD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62A25"/>
    <w:multiLevelType w:val="hybridMultilevel"/>
    <w:tmpl w:val="2EE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0"/>
  </w:num>
  <w:num w:numId="5">
    <w:abstractNumId w:val="8"/>
  </w:num>
  <w:num w:numId="6">
    <w:abstractNumId w:val="3"/>
  </w:num>
  <w:num w:numId="7">
    <w:abstractNumId w:val="0"/>
  </w:num>
  <w:num w:numId="8">
    <w:abstractNumId w:val="6"/>
  </w:num>
  <w:num w:numId="9">
    <w:abstractNumId w:val="13"/>
  </w:num>
  <w:num w:numId="10">
    <w:abstractNumId w:val="1"/>
  </w:num>
  <w:num w:numId="11">
    <w:abstractNumId w:val="11"/>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4E"/>
    <w:rsid w:val="000422E0"/>
    <w:rsid w:val="00057E5F"/>
    <w:rsid w:val="00062DDF"/>
    <w:rsid w:val="00100892"/>
    <w:rsid w:val="001207D0"/>
    <w:rsid w:val="00195342"/>
    <w:rsid w:val="001D0231"/>
    <w:rsid w:val="001E47F0"/>
    <w:rsid w:val="001F24E6"/>
    <w:rsid w:val="0022582F"/>
    <w:rsid w:val="00240A4D"/>
    <w:rsid w:val="002D5747"/>
    <w:rsid w:val="0033512C"/>
    <w:rsid w:val="00353EA5"/>
    <w:rsid w:val="00356378"/>
    <w:rsid w:val="00361140"/>
    <w:rsid w:val="003E1430"/>
    <w:rsid w:val="003E75DF"/>
    <w:rsid w:val="003F4757"/>
    <w:rsid w:val="003F4D52"/>
    <w:rsid w:val="00444D76"/>
    <w:rsid w:val="004670BF"/>
    <w:rsid w:val="004F02D0"/>
    <w:rsid w:val="0051362D"/>
    <w:rsid w:val="00531E8E"/>
    <w:rsid w:val="005439B4"/>
    <w:rsid w:val="00574688"/>
    <w:rsid w:val="0057657D"/>
    <w:rsid w:val="006132F6"/>
    <w:rsid w:val="0061379D"/>
    <w:rsid w:val="0063729F"/>
    <w:rsid w:val="006473A3"/>
    <w:rsid w:val="006A6B8F"/>
    <w:rsid w:val="006D24C0"/>
    <w:rsid w:val="007B6E6A"/>
    <w:rsid w:val="007E34A7"/>
    <w:rsid w:val="00854816"/>
    <w:rsid w:val="0087396A"/>
    <w:rsid w:val="0088410D"/>
    <w:rsid w:val="00897CF2"/>
    <w:rsid w:val="009116FB"/>
    <w:rsid w:val="0092567D"/>
    <w:rsid w:val="00966069"/>
    <w:rsid w:val="00991759"/>
    <w:rsid w:val="009A078E"/>
    <w:rsid w:val="009D40DD"/>
    <w:rsid w:val="009E5AB5"/>
    <w:rsid w:val="009E5F88"/>
    <w:rsid w:val="00A02FDF"/>
    <w:rsid w:val="00A11378"/>
    <w:rsid w:val="00A25761"/>
    <w:rsid w:val="00A72997"/>
    <w:rsid w:val="00A861BB"/>
    <w:rsid w:val="00A9225C"/>
    <w:rsid w:val="00A942B2"/>
    <w:rsid w:val="00AB4640"/>
    <w:rsid w:val="00B312C6"/>
    <w:rsid w:val="00B572D1"/>
    <w:rsid w:val="00BB3493"/>
    <w:rsid w:val="00BB51D8"/>
    <w:rsid w:val="00BD2DB7"/>
    <w:rsid w:val="00CA4E6E"/>
    <w:rsid w:val="00CC07D9"/>
    <w:rsid w:val="00D43E83"/>
    <w:rsid w:val="00E24744"/>
    <w:rsid w:val="00E3264E"/>
    <w:rsid w:val="00E41E38"/>
    <w:rsid w:val="00E66896"/>
    <w:rsid w:val="00E90589"/>
    <w:rsid w:val="00E97E95"/>
    <w:rsid w:val="00F40BEB"/>
    <w:rsid w:val="00F66C51"/>
    <w:rsid w:val="00F84967"/>
    <w:rsid w:val="00F877A7"/>
    <w:rsid w:val="00F97559"/>
    <w:rsid w:val="00FD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0C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264E"/>
    <w:pPr>
      <w:widowControl w:val="0"/>
    </w:pPr>
    <w:rPr>
      <w:rFonts w:eastAsiaTheme="minorHAnsi"/>
      <w:sz w:val="22"/>
      <w:szCs w:val="22"/>
    </w:rPr>
  </w:style>
  <w:style w:type="paragraph" w:styleId="ListParagraph">
    <w:name w:val="List Paragraph"/>
    <w:basedOn w:val="Normal"/>
    <w:uiPriority w:val="34"/>
    <w:qFormat/>
    <w:rsid w:val="0051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F069-5ACB-E046-8057-0E549D7D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Bartlett City Schools</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Malone</dc:creator>
  <cp:keywords/>
  <dc:description/>
  <cp:lastModifiedBy>Katie McCain</cp:lastModifiedBy>
  <cp:revision>3</cp:revision>
  <dcterms:created xsi:type="dcterms:W3CDTF">2018-06-13T14:09:00Z</dcterms:created>
  <dcterms:modified xsi:type="dcterms:W3CDTF">2018-06-13T14:17:00Z</dcterms:modified>
</cp:coreProperties>
</file>